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96" w:rsidRDefault="001F2E96" w:rsidP="001F2E9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F2E96" w:rsidRDefault="001F2E96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2020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 xml:space="preserve">2025 </w:t>
      </w:r>
    </w:p>
    <w:p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2021/2022</w:t>
      </w:r>
    </w:p>
    <w:p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color w:val="auto"/>
                <w:sz w:val="24"/>
                <w:szCs w:val="24"/>
              </w:rPr>
              <w:t>wczesne wspomaganie rozwoju dziecka z autyzmem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F206D2" w:rsidRPr="000F597B" w:rsidTr="00F206D2">
        <w:tc>
          <w:tcPr>
            <w:tcW w:w="1045" w:type="dxa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:rsidTr="00F206D2">
        <w:tc>
          <w:tcPr>
            <w:tcW w:w="1045" w:type="dxa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D511A2" w:rsidRPr="000F597B" w:rsidTr="00605ACB">
        <w:tc>
          <w:tcPr>
            <w:tcW w:w="170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rPr>
          <w:trHeight w:val="844"/>
        </w:trPr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 METODY I KRYTERIA OCENY 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:rsidTr="00683FA3">
        <w:tc>
          <w:tcPr>
            <w:tcW w:w="1588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ocenianie w skali: ndst, dst, plus dst, db, plus db, bdb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:rsidTr="00DA560E">
        <w:tc>
          <w:tcPr>
            <w:tcW w:w="5557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niekontaktowe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:rsidTr="00683FA3">
        <w:trPr>
          <w:trHeight w:val="983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Protext.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Frohlich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>. Warszawa:WSiP.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:rsidTr="00683FA3">
        <w:trPr>
          <w:trHeight w:val="397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Grandin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Greenspan S.I., Wieder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Dotrzeć do dziecka z autyzmem. Jak pomóc dzieciom nawiązać relacje, komunikować się i myśleć. Metoda Floortime</w:t>
            </w:r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lastRenderedPageBreak/>
        <w:t> </w:t>
      </w: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A25" w:rsidRDefault="00135A25">
      <w:r>
        <w:separator/>
      </w:r>
    </w:p>
  </w:endnote>
  <w:endnote w:type="continuationSeparator" w:id="0">
    <w:p w:rsidR="00135A25" w:rsidRDefault="0013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A25" w:rsidRDefault="00135A25">
      <w:r>
        <w:separator/>
      </w:r>
    </w:p>
  </w:footnote>
  <w:footnote w:type="continuationSeparator" w:id="0">
    <w:p w:rsidR="00135A25" w:rsidRDefault="00135A25">
      <w:r>
        <w:continuationSeparator/>
      </w:r>
    </w:p>
  </w:footnote>
  <w:footnote w:id="1">
    <w:p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A6"/>
    <w:rsid w:val="000C4C8A"/>
    <w:rsid w:val="000F597B"/>
    <w:rsid w:val="00135A25"/>
    <w:rsid w:val="00140526"/>
    <w:rsid w:val="00153C41"/>
    <w:rsid w:val="00177AA2"/>
    <w:rsid w:val="001D2054"/>
    <w:rsid w:val="001F2E96"/>
    <w:rsid w:val="00200218"/>
    <w:rsid w:val="002119E9"/>
    <w:rsid w:val="00237F6E"/>
    <w:rsid w:val="00253D02"/>
    <w:rsid w:val="002903BF"/>
    <w:rsid w:val="002A5E5F"/>
    <w:rsid w:val="00341397"/>
    <w:rsid w:val="003C0A8B"/>
    <w:rsid w:val="00433FCA"/>
    <w:rsid w:val="00441E88"/>
    <w:rsid w:val="00462329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83FA3"/>
    <w:rsid w:val="006F26AE"/>
    <w:rsid w:val="007002B6"/>
    <w:rsid w:val="007A3A1C"/>
    <w:rsid w:val="00801098"/>
    <w:rsid w:val="0085747A"/>
    <w:rsid w:val="0088167C"/>
    <w:rsid w:val="008857D2"/>
    <w:rsid w:val="008906AD"/>
    <w:rsid w:val="008C70EB"/>
    <w:rsid w:val="008D16EA"/>
    <w:rsid w:val="008F4927"/>
    <w:rsid w:val="00AB5118"/>
    <w:rsid w:val="00AC747F"/>
    <w:rsid w:val="00AD7974"/>
    <w:rsid w:val="00B113D4"/>
    <w:rsid w:val="00B25B28"/>
    <w:rsid w:val="00C14AAE"/>
    <w:rsid w:val="00CD7C2E"/>
    <w:rsid w:val="00CE61F1"/>
    <w:rsid w:val="00CE73A7"/>
    <w:rsid w:val="00D32237"/>
    <w:rsid w:val="00D511A2"/>
    <w:rsid w:val="00D77504"/>
    <w:rsid w:val="00D938B2"/>
    <w:rsid w:val="00DC1680"/>
    <w:rsid w:val="00E212D2"/>
    <w:rsid w:val="00E36AE9"/>
    <w:rsid w:val="00F206D2"/>
    <w:rsid w:val="00F2212B"/>
    <w:rsid w:val="00F26FCA"/>
    <w:rsid w:val="00F75453"/>
    <w:rsid w:val="00F90943"/>
    <w:rsid w:val="00FA3AA6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5B66A"/>
  <w15:docId w15:val="{5B94F571-151D-4E51-AB17-3AE549DB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0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1348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18</cp:revision>
  <dcterms:created xsi:type="dcterms:W3CDTF">2020-02-03T07:54:00Z</dcterms:created>
  <dcterms:modified xsi:type="dcterms:W3CDTF">2024-02-27T07:30:00Z</dcterms:modified>
</cp:coreProperties>
</file>